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A3BF7" w:rsidRDefault="008E3708">
      <w:pPr>
        <w:tabs>
          <w:tab w:val="center" w:pos="4536"/>
          <w:tab w:val="right" w:pos="8280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 w:hint="eastAsia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ab/>
        <w:t xml:space="preserve"> 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 w:hint="eastAsia"/>
          <w:b/>
          <w:bCs/>
          <w:sz w:val="28"/>
        </w:rPr>
        <w:t xml:space="preserve">          </w:t>
      </w:r>
      <w:r>
        <w:rPr>
          <w:rFonts w:ascii="Arial" w:hAnsi="Arial" w:cs="Arial"/>
          <w:b/>
          <w:bCs/>
          <w:sz w:val="28"/>
        </w:rPr>
        <w:t xml:space="preserve">  </w:t>
      </w:r>
      <w:r w:rsidR="005F498F" w:rsidRPr="005F498F">
        <w:rPr>
          <w:rFonts w:ascii="Arial" w:hAnsi="Arial" w:cs="Arial"/>
          <w:b/>
          <w:bCs/>
          <w:sz w:val="28"/>
        </w:rPr>
        <w:t>R1-2003553</w:t>
      </w:r>
    </w:p>
    <w:p w:rsidR="000A3BF7" w:rsidRDefault="008E3708">
      <w:pPr>
        <w:tabs>
          <w:tab w:val="center" w:pos="4536"/>
          <w:tab w:val="right" w:pos="9072"/>
        </w:tabs>
        <w:spacing w:before="120" w:after="12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9435E2">
        <w:rPr>
          <w:rFonts w:ascii="Arial" w:eastAsia="MS Mincho" w:hAnsi="Arial" w:cs="Arial"/>
          <w:b/>
          <w:bCs/>
          <w:sz w:val="28"/>
          <w:lang w:eastAsia="ja-JP"/>
        </w:rPr>
        <w:t>May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2"/>
          <w:lang w:eastAsia="ja-JP"/>
        </w:rPr>
        <w:t xml:space="preserve">– </w:t>
      </w:r>
      <w:r>
        <w:rPr>
          <w:rFonts w:ascii="Arial" w:eastAsia="MS Mincho" w:hAnsi="Arial" w:cs="Arial" w:hint="eastAsia"/>
          <w:b/>
          <w:bCs/>
          <w:sz w:val="28"/>
          <w:szCs w:val="22"/>
          <w:lang w:eastAsia="ja-JP"/>
        </w:rPr>
        <w:t>June 5</w:t>
      </w:r>
      <w:r>
        <w:rPr>
          <w:rFonts w:ascii="Arial" w:eastAsia="MS Mincho" w:hAnsi="Arial" w:cs="Arial" w:hint="eastAsia"/>
          <w:b/>
          <w:bCs/>
          <w:sz w:val="28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2020</w:t>
      </w:r>
    </w:p>
    <w:p w:rsidR="000A3BF7" w:rsidRDefault="008E3708" w:rsidP="009435E2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Remaining issues on QoS</w:t>
      </w:r>
    </w:p>
    <w:p w:rsidR="000A3BF7" w:rsidRDefault="008E3708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 Sanechips</w:t>
      </w:r>
    </w:p>
    <w:p w:rsidR="000A3BF7" w:rsidRDefault="008E3708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7.2.4.6</w:t>
      </w:r>
    </w:p>
    <w:p w:rsidR="000A3BF7" w:rsidRDefault="008E3708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0A3BF7" w:rsidRDefault="008E3708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:rsidR="000A3BF7" w:rsidRDefault="00FF4582">
      <w:pPr>
        <w:spacing w:before="120" w:after="120"/>
        <w:rPr>
          <w:sz w:val="20"/>
        </w:rPr>
      </w:pPr>
      <w:r>
        <w:rPr>
          <w:sz w:val="20"/>
        </w:rPr>
        <w:t>This contribution further discusses the</w:t>
      </w:r>
      <w:r w:rsidR="008E3708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remaining issues </w:t>
      </w:r>
      <w:r>
        <w:rPr>
          <w:sz w:val="20"/>
        </w:rPr>
        <w:t>in the V2X QoS scope</w:t>
      </w:r>
      <w:r w:rsidR="008E3708">
        <w:rPr>
          <w:rFonts w:hint="eastAsia"/>
          <w:sz w:val="20"/>
        </w:rPr>
        <w:t>.</w:t>
      </w:r>
    </w:p>
    <w:p w:rsidR="000A3BF7" w:rsidRDefault="008E3708">
      <w:pPr>
        <w:pStyle w:val="Heading1"/>
        <w:spacing w:before="120" w:after="120"/>
        <w:ind w:left="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:rsidR="000A3BF7" w:rsidRDefault="008E3708" w:rsidP="00FF4582">
      <w:pPr>
        <w:pStyle w:val="Heading4"/>
        <w:numPr>
          <w:ilvl w:val="3"/>
          <w:numId w:val="0"/>
        </w:numPr>
        <w:spacing w:after="0" w:line="259" w:lineRule="auto"/>
        <w:ind w:right="210"/>
      </w:pPr>
      <w:r>
        <w:t xml:space="preserve">Issue 1: </w:t>
      </w:r>
      <w:r>
        <w:rPr>
          <w:rFonts w:hint="eastAsia"/>
        </w:rPr>
        <w:t>The</w:t>
      </w:r>
      <w:r>
        <w:t xml:space="preserve"> future window</w:t>
      </w:r>
      <w:r>
        <w:rPr>
          <w:rFonts w:hint="eastAsia"/>
        </w:rPr>
        <w:t xml:space="preserve"> for CR</w:t>
      </w:r>
    </w:p>
    <w:p w:rsidR="000A3BF7" w:rsidRDefault="008E3708" w:rsidP="00FF4582">
      <w:pPr>
        <w:spacing w:beforeLines="0" w:after="120"/>
        <w:rPr>
          <w:sz w:val="20"/>
        </w:rPr>
      </w:pPr>
      <w:r>
        <w:rPr>
          <w:rFonts w:hint="eastAsia"/>
          <w:sz w:val="20"/>
        </w:rPr>
        <w:t xml:space="preserve">At last meeting, it is agreed that </w:t>
      </w:r>
      <w:r>
        <w:rPr>
          <w:sz w:val="20"/>
        </w:rPr>
        <w:t xml:space="preserve">the parameter </w:t>
      </w:r>
      <w:r>
        <w:rPr>
          <w:sz w:val="20"/>
          <w:lang w:eastAsia="ko-KR"/>
        </w:rPr>
        <w:t>b in the CR window is 0 or a positive integer</w:t>
      </w:r>
      <w:r>
        <w:rPr>
          <w:rFonts w:hint="eastAsia"/>
          <w:sz w:val="20"/>
        </w:rPr>
        <w:t xml:space="preserve">, </w:t>
      </w:r>
      <w:r>
        <w:rPr>
          <w:sz w:val="20"/>
        </w:rPr>
        <w:t xml:space="preserve">and </w:t>
      </w:r>
      <w:r>
        <w:rPr>
          <w:rFonts w:hint="eastAsia"/>
          <w:sz w:val="20"/>
        </w:rPr>
        <w:t xml:space="preserve">the future window for CR </w:t>
      </w:r>
      <w:r>
        <w:rPr>
          <w:sz w:val="20"/>
          <w:lang w:eastAsia="ko-KR"/>
        </w:rPr>
        <w:t>n+b shall not exceed the last transmission opportunity of the grant for the current transmission</w:t>
      </w:r>
      <w:r>
        <w:rPr>
          <w:rFonts w:hint="eastAsia"/>
          <w:sz w:val="20"/>
        </w:rPr>
        <w:t>.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The common understanding is </w:t>
      </w:r>
      <w:r>
        <w:rPr>
          <w:sz w:val="20"/>
        </w:rPr>
        <w:t xml:space="preserve">that </w:t>
      </w:r>
      <w:r>
        <w:rPr>
          <w:rFonts w:hint="eastAsia"/>
          <w:sz w:val="20"/>
        </w:rPr>
        <w:t>the transmission opportunities of the grant for current transmission can be calculated in CR evaluation. In case of HARQ based retransmission, for the resources reserved by previous SCI but</w:t>
      </w:r>
      <w:r>
        <w:rPr>
          <w:sz w:val="20"/>
        </w:rPr>
        <w:t xml:space="preserve"> then </w:t>
      </w:r>
      <w:r>
        <w:rPr>
          <w:rFonts w:hint="eastAsia"/>
          <w:sz w:val="20"/>
        </w:rPr>
        <w:t>released due to ACK feedback, a</w:t>
      </w:r>
      <w:r>
        <w:rPr>
          <w:sz w:val="20"/>
        </w:rPr>
        <w:t>n</w:t>
      </w:r>
      <w:r>
        <w:rPr>
          <w:rFonts w:hint="eastAsia"/>
          <w:sz w:val="20"/>
        </w:rPr>
        <w:t xml:space="preserve"> unclear </w:t>
      </w:r>
      <w:r>
        <w:rPr>
          <w:sz w:val="20"/>
        </w:rPr>
        <w:t>question</w:t>
      </w:r>
      <w:r>
        <w:rPr>
          <w:rFonts w:hint="eastAsia"/>
          <w:sz w:val="20"/>
        </w:rPr>
        <w:t xml:space="preserve"> is whether </w:t>
      </w:r>
      <w:r>
        <w:rPr>
          <w:sz w:val="20"/>
        </w:rPr>
        <w:t>the resource</w:t>
      </w:r>
      <w:r>
        <w:rPr>
          <w:rFonts w:hint="eastAsia"/>
          <w:sz w:val="20"/>
        </w:rPr>
        <w:t xml:space="preserve"> should be counted in CR evaluation. If following another </w:t>
      </w:r>
      <w:r>
        <w:rPr>
          <w:sz w:val="20"/>
        </w:rPr>
        <w:t xml:space="preserve">RAN1 </w:t>
      </w:r>
      <w:r>
        <w:rPr>
          <w:rFonts w:hint="eastAsia"/>
          <w:sz w:val="20"/>
        </w:rPr>
        <w:t>agreement that UE evaluates CR and applies CR_limit for every (re)transmission</w:t>
      </w:r>
      <w:r w:rsidR="00A65FBA">
        <w:rPr>
          <w:sz w:val="20"/>
        </w:rPr>
        <w:t xml:space="preserve"> </w:t>
      </w:r>
      <w:r>
        <w:rPr>
          <w:rFonts w:hint="eastAsia"/>
          <w:sz w:val="20"/>
        </w:rPr>
        <w:t>[1], when ACK was received, the current grant should be released</w:t>
      </w:r>
      <w:r>
        <w:rPr>
          <w:sz w:val="20"/>
        </w:rPr>
        <w:t>.</w:t>
      </w:r>
      <w:r>
        <w:rPr>
          <w:rFonts w:hint="eastAsia"/>
          <w:sz w:val="20"/>
        </w:rPr>
        <w:t xml:space="preserve"> </w:t>
      </w:r>
      <w:r>
        <w:rPr>
          <w:sz w:val="20"/>
        </w:rPr>
        <w:t>N</w:t>
      </w:r>
      <w:r>
        <w:rPr>
          <w:rFonts w:hint="eastAsia"/>
          <w:sz w:val="20"/>
        </w:rPr>
        <w:t xml:space="preserve">aturally, </w:t>
      </w:r>
      <w:r>
        <w:rPr>
          <w:sz w:val="20"/>
        </w:rPr>
        <w:t>those resources</w:t>
      </w:r>
      <w:r>
        <w:rPr>
          <w:rFonts w:hint="eastAsia"/>
          <w:sz w:val="20"/>
        </w:rPr>
        <w:t xml:space="preserve"> reserved by previous SCI but released due to ACK feedback should not be counted in CR evaluation.</w:t>
      </w:r>
    </w:p>
    <w:p w:rsidR="000A3BF7" w:rsidRDefault="008E3708">
      <w:pPr>
        <w:pStyle w:val="YJ-Observation"/>
        <w:spacing w:before="120" w:after="120"/>
        <w:rPr>
          <w:lang w:val="en-US" w:eastAsia="zh-CN"/>
        </w:rPr>
      </w:pPr>
      <w:bookmarkStart w:id="0" w:name="_Toc40435262"/>
      <w:r>
        <w:rPr>
          <w:rFonts w:hint="eastAsia"/>
          <w:lang w:val="en-US" w:eastAsia="zh-CN"/>
        </w:rPr>
        <w:t>The resources reserved by previous SCI but released due to ACK feedback are not counted in CR evaluation.</w:t>
      </w:r>
      <w:bookmarkEnd w:id="0"/>
    </w:p>
    <w:p w:rsidR="000A3BF7" w:rsidRDefault="008E3708" w:rsidP="00FF4582">
      <w:pPr>
        <w:pStyle w:val="Heading4"/>
        <w:numPr>
          <w:ilvl w:val="3"/>
          <w:numId w:val="0"/>
        </w:numPr>
        <w:spacing w:after="120" w:line="259" w:lineRule="auto"/>
        <w:ind w:right="210"/>
      </w:pPr>
      <w:r>
        <w:t xml:space="preserve">Issue </w:t>
      </w:r>
      <w:r>
        <w:rPr>
          <w:rFonts w:hint="eastAsia"/>
        </w:rPr>
        <w:t>2</w:t>
      </w:r>
      <w:r>
        <w:t xml:space="preserve">: </w:t>
      </w:r>
      <w:r>
        <w:rPr>
          <w:rFonts w:hint="eastAsia"/>
        </w:rPr>
        <w:t>Reporting CBR to gNB</w:t>
      </w:r>
    </w:p>
    <w:p w:rsidR="000A3BF7" w:rsidRDefault="008E3708">
      <w:pPr>
        <w:spacing w:before="120" w:after="120"/>
        <w:rPr>
          <w:sz w:val="20"/>
        </w:rPr>
      </w:pPr>
      <w:r>
        <w:rPr>
          <w:rFonts w:hint="eastAsia"/>
          <w:sz w:val="20"/>
        </w:rPr>
        <w:t>RAN1 #97 meeting</w:t>
      </w:r>
      <w:r>
        <w:rPr>
          <w:sz w:val="20"/>
        </w:rPr>
        <w:t xml:space="preserve"> agreed following </w:t>
      </w:r>
      <w:r>
        <w:rPr>
          <w:rFonts w:hint="eastAsia"/>
          <w:sz w:val="20"/>
        </w:rPr>
        <w:t>[2]:</w:t>
      </w:r>
    </w:p>
    <w:p w:rsidR="000A3BF7" w:rsidRDefault="008E3708">
      <w:pPr>
        <w:spacing w:before="120" w:after="120"/>
        <w:rPr>
          <w:i/>
          <w:iCs/>
          <w:sz w:val="20"/>
        </w:rPr>
      </w:pPr>
      <w:r>
        <w:rPr>
          <w:i/>
          <w:iCs/>
          <w:sz w:val="20"/>
          <w:highlight w:val="green"/>
        </w:rPr>
        <w:t>Agreements</w:t>
      </w:r>
      <w:r>
        <w:rPr>
          <w:i/>
          <w:iCs/>
          <w:sz w:val="20"/>
        </w:rPr>
        <w:t>:</w:t>
      </w:r>
    </w:p>
    <w:p w:rsidR="000A3BF7" w:rsidRDefault="008E3708">
      <w:pPr>
        <w:numPr>
          <w:ilvl w:val="0"/>
          <w:numId w:val="10"/>
        </w:num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Higher-layer reporting of CBR to the gNB is supported for RRC_CONNECTED UEs.</w:t>
      </w:r>
    </w:p>
    <w:p w:rsidR="000A3BF7" w:rsidRDefault="008E3708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In the agreement, one issue which needs to be clarified is </w:t>
      </w:r>
      <w:r>
        <w:rPr>
          <w:sz w:val="20"/>
        </w:rPr>
        <w:t xml:space="preserve">whether </w:t>
      </w:r>
      <w:r>
        <w:rPr>
          <w:rFonts w:hint="eastAsia"/>
          <w:sz w:val="20"/>
        </w:rPr>
        <w:t xml:space="preserve">the CBR here </w:t>
      </w:r>
      <w:r>
        <w:rPr>
          <w:sz w:val="20"/>
        </w:rPr>
        <w:t>re</w:t>
      </w:r>
      <w:r>
        <w:rPr>
          <w:rFonts w:hint="eastAsia"/>
          <w:sz w:val="20"/>
        </w:rPr>
        <w:t xml:space="preserve">fers to only NR SL-CBR or both NR </w:t>
      </w:r>
      <w:r>
        <w:rPr>
          <w:sz w:val="20"/>
        </w:rPr>
        <w:t xml:space="preserve">SL-CBR </w:t>
      </w:r>
      <w:r>
        <w:rPr>
          <w:rFonts w:hint="eastAsia"/>
          <w:sz w:val="20"/>
        </w:rPr>
        <w:t xml:space="preserve">and LTE SL-CBR. </w:t>
      </w:r>
      <w:r>
        <w:rPr>
          <w:sz w:val="20"/>
        </w:rPr>
        <w:t>B</w:t>
      </w:r>
      <w:r>
        <w:rPr>
          <w:rFonts w:hint="eastAsia"/>
          <w:sz w:val="20"/>
        </w:rPr>
        <w:t xml:space="preserve">esides reporting NR SL-CBR, reporting LTE SL-CBR to gNB is beneficial for NR Uu controlling LTE sidelink. </w:t>
      </w:r>
      <w:r>
        <w:rPr>
          <w:sz w:val="20"/>
        </w:rPr>
        <w:t>Consequently</w:t>
      </w:r>
      <w:r>
        <w:rPr>
          <w:rFonts w:hint="eastAsia"/>
          <w:sz w:val="20"/>
        </w:rPr>
        <w:t xml:space="preserve"> we give the following proposal:</w:t>
      </w:r>
    </w:p>
    <w:p w:rsidR="000A3BF7" w:rsidRDefault="008E3708">
      <w:pPr>
        <w:pStyle w:val="YJ-Proposal"/>
        <w:spacing w:before="120" w:after="120"/>
        <w:rPr>
          <w:lang w:val="en-US" w:eastAsia="zh-CN"/>
        </w:rPr>
      </w:pPr>
      <w:bookmarkStart w:id="1" w:name="_Toc40435258"/>
      <w:r>
        <w:rPr>
          <w:rFonts w:hint="eastAsia"/>
          <w:lang w:val="en-US" w:eastAsia="zh-CN"/>
        </w:rPr>
        <w:t>Both NR SL-CBR and LTE SL-CBR can be reported to the gNB for RRC_CONNECTED UEs.</w:t>
      </w:r>
      <w:bookmarkEnd w:id="1"/>
    </w:p>
    <w:p w:rsidR="000A3BF7" w:rsidRDefault="008E3708" w:rsidP="00FF4582">
      <w:pPr>
        <w:pStyle w:val="Heading4"/>
        <w:numPr>
          <w:ilvl w:val="3"/>
          <w:numId w:val="0"/>
        </w:numPr>
        <w:spacing w:after="120" w:line="259" w:lineRule="auto"/>
        <w:ind w:right="210"/>
        <w:rPr>
          <w:szCs w:val="22"/>
        </w:rPr>
      </w:pPr>
      <w:r>
        <w:t xml:space="preserve">Issue </w:t>
      </w:r>
      <w:r>
        <w:rPr>
          <w:rFonts w:hint="eastAsia"/>
        </w:rPr>
        <w:t>3</w:t>
      </w:r>
      <w:r>
        <w:t xml:space="preserve">: </w:t>
      </w:r>
      <w:r>
        <w:rPr>
          <w:rFonts w:hint="eastAsia"/>
          <w:szCs w:val="22"/>
        </w:rPr>
        <w:t>SPS resource reservation</w:t>
      </w:r>
    </w:p>
    <w:p w:rsidR="000A3BF7" w:rsidRDefault="008E3708" w:rsidP="00FF4582">
      <w:pPr>
        <w:spacing w:before="120" w:after="120"/>
        <w:rPr>
          <w:sz w:val="20"/>
        </w:rPr>
      </w:pPr>
      <w:r>
        <w:rPr>
          <w:rFonts w:hint="eastAsia"/>
          <w:sz w:val="20"/>
        </w:rPr>
        <w:t>In Feature Lead</w:t>
      </w:r>
      <w:r>
        <w:rPr>
          <w:sz w:val="20"/>
        </w:rPr>
        <w:t>’</w:t>
      </w:r>
      <w:r>
        <w:rPr>
          <w:rFonts w:hint="eastAsia"/>
          <w:sz w:val="20"/>
        </w:rPr>
        <w:t>s summary in RAN1#100-emeeting</w:t>
      </w:r>
      <w:r w:rsidR="00A65FBA">
        <w:rPr>
          <w:sz w:val="20"/>
        </w:rPr>
        <w:t xml:space="preserve"> </w:t>
      </w:r>
      <w:r>
        <w:rPr>
          <w:rFonts w:hint="eastAsia"/>
          <w:sz w:val="20"/>
        </w:rPr>
        <w:t xml:space="preserve">[1], </w:t>
      </w:r>
      <w:r>
        <w:rPr>
          <w:sz w:val="20"/>
        </w:rPr>
        <w:t>one</w:t>
      </w:r>
      <w:r>
        <w:rPr>
          <w:rFonts w:hint="eastAsia"/>
          <w:sz w:val="20"/>
        </w:rPr>
        <w:t xml:space="preserve"> issue </w:t>
      </w:r>
      <w:r>
        <w:rPr>
          <w:sz w:val="20"/>
        </w:rPr>
        <w:t xml:space="preserve">is listed </w:t>
      </w:r>
      <w:r>
        <w:rPr>
          <w:rFonts w:hint="eastAsia"/>
          <w:sz w:val="20"/>
        </w:rPr>
        <w:t>but not discussed</w:t>
      </w:r>
      <w:r>
        <w:rPr>
          <w:sz w:val="20"/>
        </w:rPr>
        <w:t xml:space="preserve"> on</w:t>
      </w:r>
      <w:r>
        <w:rPr>
          <w:rFonts w:hint="eastAsia"/>
          <w:sz w:val="20"/>
        </w:rPr>
        <w:t xml:space="preserve"> whether SPS resource reservation can be disabled based on congestion control. </w:t>
      </w:r>
      <w:r>
        <w:rPr>
          <w:sz w:val="20"/>
        </w:rPr>
        <w:t>F</w:t>
      </w:r>
      <w:r>
        <w:rPr>
          <w:rFonts w:hint="eastAsia"/>
          <w:sz w:val="20"/>
        </w:rPr>
        <w:t xml:space="preserve">rom our </w:t>
      </w:r>
      <w:r>
        <w:rPr>
          <w:sz w:val="20"/>
        </w:rPr>
        <w:t>understanding</w:t>
      </w:r>
      <w:r>
        <w:rPr>
          <w:rFonts w:hint="eastAsia"/>
          <w:sz w:val="20"/>
        </w:rPr>
        <w:t xml:space="preserve">, whether to use SPS resource reservation is mostly </w:t>
      </w:r>
      <w:r>
        <w:rPr>
          <w:sz w:val="20"/>
        </w:rPr>
        <w:t>depending on traffic type</w:t>
      </w:r>
      <w:r>
        <w:rPr>
          <w:rFonts w:hint="eastAsia"/>
          <w:sz w:val="20"/>
        </w:rPr>
        <w:t>, and there is no necess</w:t>
      </w:r>
      <w:r>
        <w:rPr>
          <w:sz w:val="20"/>
        </w:rPr>
        <w:t>ity</w:t>
      </w:r>
      <w:r>
        <w:rPr>
          <w:rFonts w:hint="eastAsia"/>
          <w:sz w:val="20"/>
        </w:rPr>
        <w:t xml:space="preserve"> to bind the SPS resource reservation and congestion control together. </w:t>
      </w:r>
      <w:r>
        <w:rPr>
          <w:sz w:val="20"/>
        </w:rPr>
        <w:t>If a UE has to transmit periodic traffic, the most efficient resource allocation for periodic traffic is a semi-persistent resource allocation</w:t>
      </w:r>
      <w:r>
        <w:rPr>
          <w:rFonts w:hint="eastAsia"/>
          <w:sz w:val="20"/>
        </w:rPr>
        <w:t xml:space="preserve"> and it is beneficial for other UE</w:t>
      </w:r>
      <w:r>
        <w:rPr>
          <w:sz w:val="20"/>
        </w:rPr>
        <w:t>’</w:t>
      </w:r>
      <w:r>
        <w:rPr>
          <w:rFonts w:hint="eastAsia"/>
          <w:sz w:val="20"/>
        </w:rPr>
        <w:t>s sensing</w:t>
      </w:r>
      <w:r>
        <w:rPr>
          <w:sz w:val="20"/>
        </w:rPr>
        <w:t>.</w:t>
      </w:r>
      <w:r>
        <w:rPr>
          <w:rFonts w:hint="eastAsia"/>
          <w:sz w:val="20"/>
        </w:rPr>
        <w:t xml:space="preserve"> If the SPS resource reservation was disabled due to congestion control, the TB would be transmitted in one-shot </w:t>
      </w:r>
      <w:r>
        <w:rPr>
          <w:sz w:val="20"/>
        </w:rPr>
        <w:t xml:space="preserve">opportunity </w:t>
      </w:r>
      <w:r>
        <w:rPr>
          <w:rFonts w:hint="eastAsia"/>
          <w:sz w:val="20"/>
        </w:rPr>
        <w:t>instead of semi-persistent</w:t>
      </w:r>
      <w:r>
        <w:rPr>
          <w:sz w:val="20"/>
        </w:rPr>
        <w:t xml:space="preserve"> </w:t>
      </w:r>
      <w:r>
        <w:rPr>
          <w:sz w:val="20"/>
        </w:rPr>
        <w:lastRenderedPageBreak/>
        <w:t>occasions</w:t>
      </w:r>
      <w:r>
        <w:rPr>
          <w:rFonts w:hint="eastAsia"/>
          <w:sz w:val="20"/>
        </w:rPr>
        <w:t xml:space="preserve"> under the CR mechanism. In such case, the benefit of SPS resource reservation for sensing would be lost. Therefore, it is not </w:t>
      </w:r>
      <w:r>
        <w:rPr>
          <w:sz w:val="20"/>
        </w:rPr>
        <w:t>necessary</w:t>
      </w:r>
      <w:r>
        <w:rPr>
          <w:rFonts w:hint="eastAsia"/>
          <w:sz w:val="20"/>
        </w:rPr>
        <w:t xml:space="preserve"> to </w:t>
      </w:r>
      <w:r>
        <w:rPr>
          <w:sz w:val="20"/>
        </w:rPr>
        <w:t>restrict</w:t>
      </w:r>
      <w:r>
        <w:rPr>
          <w:rFonts w:hint="eastAsia"/>
          <w:sz w:val="20"/>
        </w:rPr>
        <w:t xml:space="preserve"> that SPS resource reservation is disabled by congestion control.</w:t>
      </w:r>
    </w:p>
    <w:p w:rsidR="000A3BF7" w:rsidRDefault="00A65FBA">
      <w:pPr>
        <w:pStyle w:val="YJ-Proposal"/>
        <w:spacing w:before="120" w:after="120"/>
      </w:pPr>
      <w:bookmarkStart w:id="2" w:name="_Toc40435259"/>
      <w:r>
        <w:rPr>
          <w:lang w:val="en-US" w:eastAsia="zh-CN"/>
        </w:rPr>
        <w:t>Rel-16 V2X does not support t</w:t>
      </w:r>
      <w:r w:rsidR="008E3708">
        <w:rPr>
          <w:rFonts w:hint="eastAsia"/>
          <w:lang w:val="en-US" w:eastAsia="zh-CN"/>
        </w:rPr>
        <w:t xml:space="preserve">he function of </w:t>
      </w:r>
      <w:r>
        <w:rPr>
          <w:lang w:val="en-US" w:eastAsia="zh-CN"/>
        </w:rPr>
        <w:t xml:space="preserve">disabling </w:t>
      </w:r>
      <w:r w:rsidR="008E3708">
        <w:rPr>
          <w:rFonts w:hint="eastAsia"/>
          <w:lang w:val="en-US" w:eastAsia="zh-CN"/>
        </w:rPr>
        <w:t>s</w:t>
      </w:r>
      <w:r w:rsidR="008E3708">
        <w:t>emi-persistent resource reservation by congestion control</w:t>
      </w:r>
      <w:r w:rsidR="008E3708">
        <w:rPr>
          <w:rFonts w:hint="eastAsia"/>
          <w:lang w:val="en-US" w:eastAsia="zh-CN"/>
        </w:rPr>
        <w:t>.</w:t>
      </w:r>
      <w:bookmarkEnd w:id="2"/>
      <w:r w:rsidR="008E3708">
        <w:rPr>
          <w:rFonts w:hint="eastAsia"/>
          <w:lang w:val="en-US" w:eastAsia="zh-CN"/>
        </w:rPr>
        <w:t xml:space="preserve"> </w:t>
      </w:r>
    </w:p>
    <w:p w:rsidR="000A3BF7" w:rsidRDefault="008E3708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Conclusion</w:t>
      </w:r>
    </w:p>
    <w:p w:rsidR="000A3BF7" w:rsidRDefault="008E3708">
      <w:pPr>
        <w:spacing w:before="120" w:after="120"/>
        <w:rPr>
          <w:sz w:val="20"/>
        </w:rPr>
      </w:pPr>
      <w:r>
        <w:rPr>
          <w:rFonts w:hint="eastAsia"/>
          <w:sz w:val="20"/>
        </w:rPr>
        <w:t>Based on the discussion,</w:t>
      </w:r>
      <w:r>
        <w:rPr>
          <w:sz w:val="20"/>
        </w:rPr>
        <w:t xml:space="preserve"> </w:t>
      </w:r>
      <w:r>
        <w:rPr>
          <w:rFonts w:hint="eastAsia"/>
          <w:sz w:val="20"/>
        </w:rPr>
        <w:t>the following observation and proposal</w:t>
      </w:r>
      <w:r>
        <w:rPr>
          <w:sz w:val="20"/>
        </w:rPr>
        <w:t>s</w:t>
      </w:r>
      <w:r>
        <w:rPr>
          <w:rFonts w:hint="eastAsia"/>
          <w:sz w:val="20"/>
        </w:rPr>
        <w:t xml:space="preserve"> are given:</w:t>
      </w:r>
    </w:p>
    <w:p w:rsidR="009435E2" w:rsidRDefault="003B4D26" w:rsidP="00946641">
      <w:pPr>
        <w:pStyle w:val="TOC1"/>
        <w:tabs>
          <w:tab w:val="left" w:pos="1540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r w:rsidRPr="003B4D26">
        <w:fldChar w:fldCharType="begin"/>
      </w:r>
      <w:r w:rsidR="008E3708">
        <w:instrText>TOC \n  \t "YJ-Observation,1,sub-observation,2,3rd level observation,3" \h</w:instrText>
      </w:r>
      <w:r w:rsidRPr="003B4D26">
        <w:fldChar w:fldCharType="separate"/>
      </w:r>
      <w:hyperlink w:anchor="_Toc40435262" w:history="1">
        <w:r w:rsidR="009435E2" w:rsidRPr="00946641">
          <w:rPr>
            <w:rStyle w:val="Hyperlink"/>
            <w:rFonts w:eastAsia="SimSun"/>
            <w:noProof/>
          </w:rPr>
          <w:t>Observation 1:</w:t>
        </w:r>
        <w:r w:rsidR="009435E2"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9435E2" w:rsidRPr="00946641">
          <w:rPr>
            <w:rStyle w:val="Hyperlink"/>
            <w:noProof/>
          </w:rPr>
          <w:t>The resources reserved by previous SCI but released due to ACK feedback are not counted in CR evaluation.</w:t>
        </w:r>
      </w:hyperlink>
    </w:p>
    <w:p w:rsidR="000A3BF7" w:rsidRDefault="003B4D26">
      <w:pPr>
        <w:spacing w:before="120" w:after="120"/>
        <w:rPr>
          <w:sz w:val="20"/>
        </w:rPr>
      </w:pPr>
      <w:r>
        <w:rPr>
          <w:sz w:val="20"/>
        </w:rPr>
        <w:fldChar w:fldCharType="end"/>
      </w:r>
    </w:p>
    <w:p w:rsidR="009435E2" w:rsidRDefault="003B4D26" w:rsidP="008308C5">
      <w:pPr>
        <w:pStyle w:val="TOC1"/>
        <w:tabs>
          <w:tab w:val="left" w:pos="1282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r w:rsidRPr="003B4D26">
        <w:fldChar w:fldCharType="begin"/>
      </w:r>
      <w:r w:rsidR="008E3708">
        <w:instrText>TOC \n  \t "YJ-Proposal,1,sub-proposal,2,3rd level proposal,3" \h</w:instrText>
      </w:r>
      <w:r w:rsidRPr="003B4D26">
        <w:fldChar w:fldCharType="separate"/>
      </w:r>
      <w:hyperlink w:anchor="_Toc40435258" w:history="1">
        <w:r w:rsidR="009435E2" w:rsidRPr="008308C5">
          <w:rPr>
            <w:rStyle w:val="Hyperlink"/>
            <w:rFonts w:eastAsia="SimSun"/>
            <w:noProof/>
          </w:rPr>
          <w:t>Proposal 1:</w:t>
        </w:r>
        <w:r w:rsidR="009435E2"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="009435E2" w:rsidRPr="008308C5">
          <w:rPr>
            <w:rStyle w:val="Hyperlink"/>
            <w:noProof/>
          </w:rPr>
          <w:t>Both NR SL-CBR and LTE SL-CBR can be reported to the gNB for RRC_CONNECTED UEs.</w:t>
        </w:r>
      </w:hyperlink>
    </w:p>
    <w:p w:rsidR="009435E2" w:rsidRDefault="009435E2" w:rsidP="008308C5">
      <w:pPr>
        <w:pStyle w:val="TOC1"/>
        <w:tabs>
          <w:tab w:val="left" w:pos="1282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kern w:val="0"/>
          <w:sz w:val="22"/>
          <w:szCs w:val="22"/>
        </w:rPr>
      </w:pPr>
      <w:hyperlink w:anchor="_Toc40435259" w:history="1">
        <w:r w:rsidRPr="008308C5">
          <w:rPr>
            <w:rStyle w:val="Hyperlink"/>
            <w:rFonts w:eastAsia="SimSun"/>
            <w:noProof/>
          </w:rPr>
          <w:t>Proposal 2:</w:t>
        </w:r>
        <w:r>
          <w:rPr>
            <w:rFonts w:asciiTheme="minorHAnsi" w:hAnsiTheme="minorHAnsi" w:cstheme="minorBidi"/>
            <w:b w:val="0"/>
            <w:i w:val="0"/>
            <w:noProof/>
            <w:kern w:val="0"/>
            <w:sz w:val="22"/>
            <w:szCs w:val="22"/>
          </w:rPr>
          <w:tab/>
        </w:r>
        <w:r w:rsidRPr="008308C5">
          <w:rPr>
            <w:rStyle w:val="Hyperlink"/>
            <w:noProof/>
          </w:rPr>
          <w:t>Rel-16 V2X does not support the function of disabling semi-persistent resource reservation by congestion control.</w:t>
        </w:r>
      </w:hyperlink>
    </w:p>
    <w:p w:rsidR="000A3BF7" w:rsidRDefault="003B4D26">
      <w:pPr>
        <w:spacing w:before="120" w:after="120"/>
      </w:pPr>
      <w:r>
        <w:rPr>
          <w:sz w:val="20"/>
        </w:rPr>
        <w:fldChar w:fldCharType="end"/>
      </w:r>
    </w:p>
    <w:p w:rsidR="000A3BF7" w:rsidRDefault="008E3708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:rsidR="000A3BF7" w:rsidRDefault="008E3708">
      <w:pPr>
        <w:pStyle w:val="References"/>
        <w:spacing w:before="120" w:after="120"/>
        <w:ind w:left="363" w:hanging="363"/>
        <w:rPr>
          <w:sz w:val="20"/>
          <w:szCs w:val="20"/>
        </w:rPr>
      </w:pPr>
      <w:bookmarkStart w:id="3" w:name="_Ref17466"/>
      <w:r>
        <w:rPr>
          <w:sz w:val="20"/>
          <w:szCs w:val="20"/>
        </w:rPr>
        <w:t>Chairman’s notes, 3GPP TSG RAN WG1 #100-e v0.2.0, Online meeting, 24th February - 6th March 2020</w:t>
      </w:r>
    </w:p>
    <w:p w:rsidR="000A3BF7" w:rsidRDefault="008E3708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sz w:val="20"/>
          <w:szCs w:val="20"/>
        </w:rPr>
        <w:t>Chairman’s notes, 3GPP TSG RAN WG1 #97, May13th–17th, 2019</w:t>
      </w:r>
    </w:p>
    <w:bookmarkEnd w:id="3"/>
    <w:p w:rsidR="000A3BF7" w:rsidRDefault="000A3BF7">
      <w:pPr>
        <w:spacing w:beforeLines="0" w:afterLines="0"/>
        <w:jc w:val="left"/>
      </w:pPr>
    </w:p>
    <w:sectPr w:rsidR="000A3BF7" w:rsidSect="000A3B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708" w:rsidRDefault="008E3708" w:rsidP="00FF4582">
      <w:pPr>
        <w:spacing w:before="120" w:after="120" w:line="240" w:lineRule="auto"/>
      </w:pPr>
      <w:r>
        <w:separator/>
      </w:r>
    </w:p>
  </w:endnote>
  <w:endnote w:type="continuationSeparator" w:id="0">
    <w:p w:rsidR="008E3708" w:rsidRDefault="008E3708" w:rsidP="00FF4582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708" w:rsidRDefault="008E3708">
    <w:pPr>
      <w:pStyle w:val="Footer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25315"/>
      <w:docPartObj>
        <w:docPartGallery w:val="Page Numbers (Bottom of Page)"/>
        <w:docPartUnique/>
      </w:docPartObj>
    </w:sdtPr>
    <w:sdtContent>
      <w:p w:rsidR="008E3708" w:rsidRDefault="003B4D26" w:rsidP="00FF4582">
        <w:pPr>
          <w:pStyle w:val="Footer"/>
          <w:spacing w:before="120" w:after="120"/>
          <w:jc w:val="center"/>
        </w:pPr>
        <w:fldSimple w:instr=" PAGE   \* MERGEFORMAT ">
          <w:r w:rsidR="009435E2">
            <w:rPr>
              <w:noProof/>
            </w:rPr>
            <w:t>1</w:t>
          </w:r>
        </w:fldSimple>
      </w:p>
    </w:sdtContent>
  </w:sdt>
  <w:p w:rsidR="008E3708" w:rsidRDefault="008E3708">
    <w:pPr>
      <w:pStyle w:val="Footer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708" w:rsidRDefault="008E3708">
    <w:pPr>
      <w:pStyle w:val="Footer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708" w:rsidRDefault="008E3708" w:rsidP="00FF4582">
      <w:pPr>
        <w:spacing w:before="120" w:after="120" w:line="240" w:lineRule="auto"/>
      </w:pPr>
      <w:r>
        <w:separator/>
      </w:r>
    </w:p>
  </w:footnote>
  <w:footnote w:type="continuationSeparator" w:id="0">
    <w:p w:rsidR="008E3708" w:rsidRDefault="008E3708" w:rsidP="00FF4582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708" w:rsidRDefault="008E3708">
    <w:pPr>
      <w:pStyle w:val="Header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708" w:rsidRDefault="008E3708">
    <w:pPr>
      <w:pStyle w:val="Header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708" w:rsidRDefault="008E3708">
    <w:pPr>
      <w:pStyle w:val="Header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SimSun" w:hAnsi="Times New Roman" w:cs="Times New Roman" w:hint="default"/>
        <w:i/>
        <w:iCs/>
      </w:rPr>
    </w:lvl>
  </w:abstractNum>
  <w:abstractNum w:abstractNumId="1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>
    <w:nsid w:val="E519FC85"/>
    <w:multiLevelType w:val="multilevel"/>
    <w:tmpl w:val="E519FC85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0E964790"/>
    <w:multiLevelType w:val="multilevel"/>
    <w:tmpl w:val="0E9647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A022BB"/>
    <w:multiLevelType w:val="multilevel"/>
    <w:tmpl w:val="25A022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7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SimSun" w:hAnsi="Times New Roman" w:cs="Times New Roman" w:hint="default"/>
        <w:i/>
        <w:iCs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A3BF7"/>
    <w:rsid w:val="00172A27"/>
    <w:rsid w:val="002D6D9B"/>
    <w:rsid w:val="003B4D26"/>
    <w:rsid w:val="00586E8C"/>
    <w:rsid w:val="005B065E"/>
    <w:rsid w:val="005C31CD"/>
    <w:rsid w:val="005E6658"/>
    <w:rsid w:val="005F498F"/>
    <w:rsid w:val="0089078D"/>
    <w:rsid w:val="008E3708"/>
    <w:rsid w:val="009435E2"/>
    <w:rsid w:val="0096044C"/>
    <w:rsid w:val="00A65FBA"/>
    <w:rsid w:val="00C01CDD"/>
    <w:rsid w:val="00D4096F"/>
    <w:rsid w:val="00E732A3"/>
    <w:rsid w:val="00FD2DE4"/>
    <w:rsid w:val="00FF4582"/>
    <w:rsid w:val="015C1845"/>
    <w:rsid w:val="01764F01"/>
    <w:rsid w:val="024D6B6A"/>
    <w:rsid w:val="028E3A14"/>
    <w:rsid w:val="029B04E7"/>
    <w:rsid w:val="03073BDC"/>
    <w:rsid w:val="033F44DC"/>
    <w:rsid w:val="0555228E"/>
    <w:rsid w:val="059D1E39"/>
    <w:rsid w:val="05E078B3"/>
    <w:rsid w:val="05F0421F"/>
    <w:rsid w:val="068F1882"/>
    <w:rsid w:val="077D0583"/>
    <w:rsid w:val="079724D0"/>
    <w:rsid w:val="082A352F"/>
    <w:rsid w:val="08C349D1"/>
    <w:rsid w:val="09F67CD5"/>
    <w:rsid w:val="0B9E71DF"/>
    <w:rsid w:val="0C5D7929"/>
    <w:rsid w:val="0C9D30C2"/>
    <w:rsid w:val="0E172BD0"/>
    <w:rsid w:val="0F0E5CA1"/>
    <w:rsid w:val="10350DB9"/>
    <w:rsid w:val="10A50104"/>
    <w:rsid w:val="119D7849"/>
    <w:rsid w:val="1242135C"/>
    <w:rsid w:val="13A1683F"/>
    <w:rsid w:val="13FC6EDB"/>
    <w:rsid w:val="14DA3DA1"/>
    <w:rsid w:val="17155857"/>
    <w:rsid w:val="17950508"/>
    <w:rsid w:val="19010C43"/>
    <w:rsid w:val="19084C73"/>
    <w:rsid w:val="199A6542"/>
    <w:rsid w:val="1A054259"/>
    <w:rsid w:val="1B7F6005"/>
    <w:rsid w:val="1C132CB9"/>
    <w:rsid w:val="1CCC26CA"/>
    <w:rsid w:val="1E9D6342"/>
    <w:rsid w:val="1E9F4123"/>
    <w:rsid w:val="1F5F4145"/>
    <w:rsid w:val="1FFF1D98"/>
    <w:rsid w:val="204E6676"/>
    <w:rsid w:val="2195668B"/>
    <w:rsid w:val="21BE5AD4"/>
    <w:rsid w:val="2366744D"/>
    <w:rsid w:val="23F51F7C"/>
    <w:rsid w:val="245C52F8"/>
    <w:rsid w:val="2463385E"/>
    <w:rsid w:val="25134332"/>
    <w:rsid w:val="257E508F"/>
    <w:rsid w:val="26766DA2"/>
    <w:rsid w:val="27AB7429"/>
    <w:rsid w:val="281E2868"/>
    <w:rsid w:val="2846296A"/>
    <w:rsid w:val="285C053E"/>
    <w:rsid w:val="29FA7F26"/>
    <w:rsid w:val="2B774832"/>
    <w:rsid w:val="2CB47BAD"/>
    <w:rsid w:val="2F1251F2"/>
    <w:rsid w:val="303979EB"/>
    <w:rsid w:val="30962F3E"/>
    <w:rsid w:val="30D17E68"/>
    <w:rsid w:val="30FF2795"/>
    <w:rsid w:val="323B211E"/>
    <w:rsid w:val="329A6ACE"/>
    <w:rsid w:val="34CD56EA"/>
    <w:rsid w:val="360B1D73"/>
    <w:rsid w:val="361F3323"/>
    <w:rsid w:val="36E93760"/>
    <w:rsid w:val="37177CDD"/>
    <w:rsid w:val="3784394E"/>
    <w:rsid w:val="37FD2D5C"/>
    <w:rsid w:val="38AE3BB0"/>
    <w:rsid w:val="3A9B1755"/>
    <w:rsid w:val="3ACB5746"/>
    <w:rsid w:val="3BB20883"/>
    <w:rsid w:val="3E441C7D"/>
    <w:rsid w:val="3F1E37DF"/>
    <w:rsid w:val="3FC956FF"/>
    <w:rsid w:val="40A36A71"/>
    <w:rsid w:val="41D3631F"/>
    <w:rsid w:val="41F466FD"/>
    <w:rsid w:val="42A67A24"/>
    <w:rsid w:val="42B162B7"/>
    <w:rsid w:val="42D846B9"/>
    <w:rsid w:val="44060D98"/>
    <w:rsid w:val="440D5045"/>
    <w:rsid w:val="45BE6191"/>
    <w:rsid w:val="460C5979"/>
    <w:rsid w:val="46BC090C"/>
    <w:rsid w:val="47697C44"/>
    <w:rsid w:val="47C01792"/>
    <w:rsid w:val="4808150F"/>
    <w:rsid w:val="49E9233D"/>
    <w:rsid w:val="4AAD1944"/>
    <w:rsid w:val="4AC31003"/>
    <w:rsid w:val="4AE93159"/>
    <w:rsid w:val="4B0F72AD"/>
    <w:rsid w:val="4BD0339A"/>
    <w:rsid w:val="4D462159"/>
    <w:rsid w:val="4D5C5FAC"/>
    <w:rsid w:val="4DC605B6"/>
    <w:rsid w:val="4DEC0985"/>
    <w:rsid w:val="4E27683A"/>
    <w:rsid w:val="4E393839"/>
    <w:rsid w:val="4EAF30DE"/>
    <w:rsid w:val="4F2765B1"/>
    <w:rsid w:val="4F285975"/>
    <w:rsid w:val="51867298"/>
    <w:rsid w:val="52195EDF"/>
    <w:rsid w:val="52313387"/>
    <w:rsid w:val="52576EA7"/>
    <w:rsid w:val="5294389D"/>
    <w:rsid w:val="52E04D27"/>
    <w:rsid w:val="539A390F"/>
    <w:rsid w:val="53DB3477"/>
    <w:rsid w:val="54747B21"/>
    <w:rsid w:val="54AF6B42"/>
    <w:rsid w:val="55DD6F2A"/>
    <w:rsid w:val="55EC100F"/>
    <w:rsid w:val="56E23970"/>
    <w:rsid w:val="578F220A"/>
    <w:rsid w:val="57FC07D9"/>
    <w:rsid w:val="58500F22"/>
    <w:rsid w:val="591C0009"/>
    <w:rsid w:val="59EE281F"/>
    <w:rsid w:val="5ACF0F3A"/>
    <w:rsid w:val="5C0F406C"/>
    <w:rsid w:val="5C6B1600"/>
    <w:rsid w:val="5C921AD0"/>
    <w:rsid w:val="5DCF1533"/>
    <w:rsid w:val="5DFD51DB"/>
    <w:rsid w:val="5E0D36E5"/>
    <w:rsid w:val="607C3753"/>
    <w:rsid w:val="60C30855"/>
    <w:rsid w:val="61392FAD"/>
    <w:rsid w:val="61421EFD"/>
    <w:rsid w:val="615C5041"/>
    <w:rsid w:val="62AE6C0F"/>
    <w:rsid w:val="62FE238D"/>
    <w:rsid w:val="645D477E"/>
    <w:rsid w:val="664805B8"/>
    <w:rsid w:val="668F03D0"/>
    <w:rsid w:val="67BF67D1"/>
    <w:rsid w:val="690F418B"/>
    <w:rsid w:val="6A7A2736"/>
    <w:rsid w:val="6A7B4B9C"/>
    <w:rsid w:val="6ACE1DA9"/>
    <w:rsid w:val="6AD27C0F"/>
    <w:rsid w:val="6C89456C"/>
    <w:rsid w:val="6D89317F"/>
    <w:rsid w:val="6E4E4C63"/>
    <w:rsid w:val="6FA629D4"/>
    <w:rsid w:val="70BB2EF0"/>
    <w:rsid w:val="71847F78"/>
    <w:rsid w:val="73D425F7"/>
    <w:rsid w:val="74084DDD"/>
    <w:rsid w:val="750A2023"/>
    <w:rsid w:val="7676736A"/>
    <w:rsid w:val="76933951"/>
    <w:rsid w:val="771D661B"/>
    <w:rsid w:val="78782A0D"/>
    <w:rsid w:val="79310526"/>
    <w:rsid w:val="79687524"/>
    <w:rsid w:val="79A2171F"/>
    <w:rsid w:val="79A252FF"/>
    <w:rsid w:val="79D33056"/>
    <w:rsid w:val="7C26369C"/>
    <w:rsid w:val="7C9E5A24"/>
    <w:rsid w:val="7D62117D"/>
    <w:rsid w:val="7DD34071"/>
    <w:rsid w:val="7E3E1EF2"/>
    <w:rsid w:val="7E951513"/>
    <w:rsid w:val="7EF7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qFormat="1"/>
    <w:lsdException w:name="toc 1" w:semiHidden="0" w:uiPriority="39" w:qFormat="1"/>
    <w:lsdException w:name="toc 2" w:qFormat="1"/>
    <w:lsdException w:name="toc 3" w:semiHidden="0" w:qFormat="1"/>
    <w:lsdException w:name="annotation text" w:qFormat="1"/>
    <w:lsdException w:name="header" w:uiPriority="0" w:unhideWhenUsed="0" w:qFormat="1"/>
    <w:lsdException w:name="footer" w:semiHidden="0" w:qFormat="1"/>
    <w:lsdException w:name="table of figures" w:qFormat="1"/>
    <w:lsdException w:name="Title" w:semiHidden="0" w:unhideWhenUsed="0"/>
    <w:lsdException w:name="Default Paragraph Font" w:uiPriority="1"/>
    <w:lsdException w:name="Body Text" w:semiHidden="0" w:uiPriority="0" w:unhideWhenUsed="0" w:qFormat="1"/>
    <w:lsdException w:name="Subtitle" w:semiHidden="0" w:unhideWhenUsed="0"/>
    <w:lsdException w:name="Hyperlink" w:semiHidden="0" w:qFormat="1"/>
    <w:lsdException w:name="Strong" w:semiHidden="0" w:uiPriority="22" w:unhideWhenUsed="0" w:qFormat="1"/>
    <w:lsdException w:name="Emphasis" w:semiHidden="0" w:unhideWhenUsed="0"/>
    <w:lsdException w:name="Document Map" w:qFormat="1"/>
    <w:lsdException w:name="Normal (Web)" w:uiPriority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BF7"/>
    <w:pPr>
      <w:spacing w:beforeLines="50" w:afterLines="50"/>
      <w:jc w:val="both"/>
    </w:pPr>
    <w:rPr>
      <w:rFonts w:ascii="Times New Roman" w:hAnsi="Times New Roman"/>
      <w:kern w:val="2"/>
      <w:sz w:val="21"/>
    </w:rPr>
  </w:style>
  <w:style w:type="paragraph" w:styleId="Heading1">
    <w:name w:val="heading 1"/>
    <w:basedOn w:val="Normal"/>
    <w:next w:val="Normal"/>
    <w:qFormat/>
    <w:rsid w:val="000A3BF7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qFormat/>
    <w:rsid w:val="000A3BF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0A3BF7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uiPriority w:val="99"/>
    <w:semiHidden/>
    <w:unhideWhenUsed/>
    <w:qFormat/>
    <w:rsid w:val="000A3BF7"/>
    <w:pPr>
      <w:numPr>
        <w:ilvl w:val="3"/>
        <w:numId w:val="2"/>
      </w:numPr>
      <w:spacing w:beforeLines="0" w:afterLines="0" w:line="372" w:lineRule="auto"/>
      <w:outlineLvl w:val="3"/>
    </w:pPr>
    <w:rPr>
      <w:rFonts w:eastAsia="SimHe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0A3BF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uiPriority w:val="99"/>
    <w:semiHidden/>
    <w:unhideWhenUsed/>
    <w:qFormat/>
    <w:rsid w:val="000A3BF7"/>
    <w:pPr>
      <w:jc w:val="left"/>
    </w:pPr>
  </w:style>
  <w:style w:type="paragraph" w:styleId="BodyText">
    <w:name w:val="Body Text"/>
    <w:basedOn w:val="Normal"/>
    <w:qFormat/>
    <w:rsid w:val="000A3BF7"/>
    <w:pPr>
      <w:spacing w:after="120"/>
    </w:pPr>
    <w:rPr>
      <w:rFonts w:eastAsia="MS Mincho"/>
    </w:rPr>
  </w:style>
  <w:style w:type="paragraph" w:styleId="TOC3">
    <w:name w:val="toc 3"/>
    <w:basedOn w:val="Normal"/>
    <w:next w:val="Normal"/>
    <w:uiPriority w:val="99"/>
    <w:unhideWhenUsed/>
    <w:qFormat/>
    <w:rsid w:val="000A3BF7"/>
    <w:pPr>
      <w:adjustRightInd w:val="0"/>
      <w:ind w:leftChars="400" w:left="1282" w:hangingChars="200" w:hanging="442"/>
    </w:pPr>
    <w:rPr>
      <w:b/>
      <w:i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A3BF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0A3B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semiHidden/>
    <w:qFormat/>
    <w:rsid w:val="000A3BF7"/>
    <w:pPr>
      <w:tabs>
        <w:tab w:val="center" w:pos="4680"/>
        <w:tab w:val="right" w:pos="9360"/>
      </w:tabs>
      <w:spacing w:after="0" w:line="240" w:lineRule="auto"/>
    </w:pPr>
  </w:style>
  <w:style w:type="paragraph" w:styleId="TOC1">
    <w:name w:val="toc 1"/>
    <w:basedOn w:val="Normal"/>
    <w:next w:val="Normal"/>
    <w:uiPriority w:val="39"/>
    <w:unhideWhenUsed/>
    <w:qFormat/>
    <w:rsid w:val="000A3BF7"/>
    <w:rPr>
      <w:rFonts w:eastAsiaTheme="minorEastAsia"/>
      <w:b/>
      <w:i/>
      <w:sz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0A3BF7"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99"/>
    <w:semiHidden/>
    <w:unhideWhenUsed/>
    <w:qFormat/>
    <w:rsid w:val="000A3BF7"/>
    <w:pPr>
      <w:ind w:leftChars="200" w:left="862" w:hangingChars="200" w:hanging="442"/>
    </w:pPr>
    <w:rPr>
      <w:b/>
      <w:i/>
      <w:sz w:val="20"/>
    </w:rPr>
  </w:style>
  <w:style w:type="paragraph" w:styleId="NormalWeb">
    <w:name w:val="Normal (Web)"/>
    <w:basedOn w:val="Normal"/>
    <w:semiHidden/>
    <w:unhideWhenUsed/>
    <w:qFormat/>
    <w:rsid w:val="000A3BF7"/>
    <w:pPr>
      <w:spacing w:beforeAutospacing="1" w:after="0" w:afterAutospacing="1"/>
      <w:jc w:val="left"/>
    </w:pPr>
    <w:rPr>
      <w:color w:val="EEECE1" w:themeColor="background2"/>
      <w:kern w:val="0"/>
      <w:sz w:val="24"/>
    </w:rPr>
  </w:style>
  <w:style w:type="table" w:styleId="TableGrid">
    <w:name w:val="Table Grid"/>
    <w:basedOn w:val="TableNormal"/>
    <w:uiPriority w:val="59"/>
    <w:qFormat/>
    <w:rsid w:val="000A3BF7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A3BF7"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sid w:val="000A3BF7"/>
    <w:rPr>
      <w:color w:val="0000FF" w:themeColor="hyperlink"/>
      <w:u w:val="single"/>
    </w:rPr>
  </w:style>
  <w:style w:type="paragraph" w:customStyle="1" w:styleId="YJ-Proposal">
    <w:name w:val="YJ-Proposal"/>
    <w:basedOn w:val="Normal"/>
    <w:qFormat/>
    <w:rsid w:val="000A3BF7"/>
    <w:pPr>
      <w:numPr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0A3BF7"/>
    <w:pPr>
      <w:numPr>
        <w:numId w:val="4"/>
      </w:numPr>
      <w:tabs>
        <w:tab w:val="left" w:pos="420"/>
      </w:tabs>
    </w:pPr>
  </w:style>
  <w:style w:type="paragraph" w:customStyle="1" w:styleId="sub-proposal">
    <w:name w:val="sub-proposal"/>
    <w:basedOn w:val="YJ-Proposal"/>
    <w:next w:val="Normal"/>
    <w:qFormat/>
    <w:rsid w:val="000A3BF7"/>
    <w:pPr>
      <w:numPr>
        <w:numId w:val="5"/>
      </w:numPr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Normal"/>
    <w:qFormat/>
    <w:rsid w:val="000A3BF7"/>
  </w:style>
  <w:style w:type="paragraph" w:customStyle="1" w:styleId="References">
    <w:name w:val="References"/>
    <w:basedOn w:val="Normal"/>
    <w:qFormat/>
    <w:rsid w:val="000A3BF7"/>
    <w:pPr>
      <w:numPr>
        <w:numId w:val="6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34"/>
    <w:qFormat/>
    <w:rsid w:val="000A3BF7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">
    <w:name w:val="样式1"/>
    <w:basedOn w:val="Normal"/>
    <w:qFormat/>
    <w:rsid w:val="000A3BF7"/>
  </w:style>
  <w:style w:type="paragraph" w:customStyle="1" w:styleId="3rdlevelproposal">
    <w:name w:val="3rd level proposal"/>
    <w:basedOn w:val="sub-proposal"/>
    <w:next w:val="Normal"/>
    <w:qFormat/>
    <w:rsid w:val="000A3BF7"/>
    <w:pPr>
      <w:numPr>
        <w:numId w:val="7"/>
      </w:numPr>
      <w:ind w:leftChars="400" w:left="1282" w:hanging="442"/>
      <w:jc w:val="left"/>
    </w:pPr>
  </w:style>
  <w:style w:type="paragraph" w:customStyle="1" w:styleId="2">
    <w:name w:val="样式2"/>
    <w:basedOn w:val="Normal"/>
    <w:qFormat/>
    <w:rsid w:val="000A3BF7"/>
  </w:style>
  <w:style w:type="paragraph" w:customStyle="1" w:styleId="3rdlevelobservation">
    <w:name w:val="3rd level observation"/>
    <w:basedOn w:val="sub-observation"/>
    <w:qFormat/>
    <w:rsid w:val="000A3BF7"/>
    <w:pPr>
      <w:numPr>
        <w:numId w:val="8"/>
      </w:numPr>
      <w:ind w:leftChars="400" w:left="1282" w:hanging="442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BF7"/>
    <w:rPr>
      <w:rFonts w:ascii="Tahoma" w:hAnsi="Tahoma" w:cs="Tahoma"/>
      <w:kern w:val="2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0A3BF7"/>
    <w:rPr>
      <w:rFonts w:ascii="Tahoma" w:hAnsi="Tahoma" w:cs="Tahoma"/>
      <w:kern w:val="2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qFormat/>
    <w:rsid w:val="000A3BF7"/>
    <w:rPr>
      <w:kern w:val="2"/>
      <w:sz w:val="21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0A3BF7"/>
    <w:rPr>
      <w:kern w:val="2"/>
      <w:sz w:val="18"/>
      <w:szCs w:val="18"/>
    </w:rPr>
  </w:style>
  <w:style w:type="paragraph" w:customStyle="1" w:styleId="b1">
    <w:name w:val="b1"/>
    <w:basedOn w:val="Normal"/>
    <w:rsid w:val="000A3BF7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apple-converted-space">
    <w:name w:val="apple-converted-space"/>
    <w:rsid w:val="000A3BF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565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7</cp:revision>
  <dcterms:created xsi:type="dcterms:W3CDTF">2019-04-08T03:09:00Z</dcterms:created>
  <dcterms:modified xsi:type="dcterms:W3CDTF">2020-05-15T16:40:00Z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